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90 InsO — Vollstreckungsverbot bei Masseverbindlichkeiten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Zwangsvollstreckungen wegen Masseverbindlichkeiten, die nicht durch eine Rechtshandlung des Insolvenzverwalters begründet worden sind, sind für die Dauer von sechs Monaten seit der Eröffnung des Insolvenzverfahrens unzulässig.</w:t>
      </w:r>
    </w:p>
    <w:p>
      <w:r>
        <w:t xml:space="preserve">(2) Nicht als derartige Masseverbindlichkeiten gelten die Verbindlichkeiten:</w:t>
      </w:r>
    </w:p>
    <w:p>
      <w:pPr>
        <w:ind w:left="420"/>
      </w:pPr>
      <w:r>
        <w:t xml:space="preserve">1. aus einem gegenseitigen Vertrag, dessen Erfüllung der Verwalter gewählt hat;</w:t>
      </w:r>
    </w:p>
    <w:p>
      <w:pPr>
        <w:ind w:left="420"/>
      </w:pPr>
      <w:r>
        <w:t xml:space="preserve">2. aus einem Dauerschuldverhältnis für die Zeit nach dem ersten Termin, zu dem der Verwalter kündigen konnte;</w:t>
      </w:r>
    </w:p>
    <w:p>
      <w:pPr>
        <w:ind w:left="420"/>
      </w:pPr>
      <w:r>
        <w:t xml:space="preserve">3. aus einem Dauerschuldverhältnis, soweit der Verwalter für die Insolvenzmasse die Gegenleistung in Anspruch nimmt.</w:t>
      </w:r>
    </w:p>
    <w:p>
      <w:r>
        <w:rPr>
          <w:color w:val="555555"/>
          <w:sz w:val="17"/>
        </w:rPr>
        <w:t xml:space="preserve">Zitiervorschlag: § 90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https://recht.nulegal.eu/gesetze/InsO/90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