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InsO — Aufnahme bestimmter Passivprozesse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Rechtsstreitigkeiten, die zur Zeit der Eröffnung des Insolvenzverfahrens gegen den Schuldner anhängig sind, können sowohl vom Insolvenzverwalter als auch vom Gegner aufgenommen werden, wenn sie betreffen:</w:t>
      </w:r>
    </w:p>
    <w:p>
      <w:pPr>
        <w:ind w:left="420"/>
      </w:pPr>
      <w:r>
        <w:t xml:space="preserve">1. die Aussonderung eines Gegenstands aus der Insolvenzmasse,</w:t>
      </w:r>
    </w:p>
    <w:p>
      <w:pPr>
        <w:ind w:left="420"/>
      </w:pPr>
      <w:r>
        <w:t xml:space="preserve">2. die abgesonderte Befriedigung oder</w:t>
      </w:r>
    </w:p>
    <w:p>
      <w:pPr>
        <w:ind w:left="420"/>
      </w:pPr>
      <w:r>
        <w:t xml:space="preserve">3. eine Masseverbindlichkeit.</w:t>
      </w:r>
    </w:p>
    <w:p>
      <w:r>
        <w:t xml:space="preserve">(2) Erkennt der Verwalter den Anspruch sofort an, so kann der Gegner einen Anspruch auf Erstattung der Kosten des Rechtsstreits nur als Insolvenzgläubiger geltend machen.</w:t>
      </w:r>
    </w:p>
    <w:p>
      <w:r>
        <w:rPr>
          <w:color w:val="555555"/>
          <w:sz w:val="17"/>
        </w:rPr>
        <w:t xml:space="preserve">Zitiervorschlag: § 86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