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InsO — Beschlüsse der Gläubigerversammlung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Gläubigerversammlung wird vom Insolvenzgericht geleitet.</w:t>
      </w:r>
    </w:p>
    <w:p>
      <w:r>
        <w:t xml:space="preserve">(2) Ein Beschluß der Gläubigerversammlung kommt zustande, wenn die Summe der Forderungsbeträge der zustimmenden Gläubiger mehr als die Hälfte der Summe der Forderungsbeträge der abstimmenden Gläubiger beträgt; bei absonderungsberechtigten Gläubigern, denen der Schuldner nicht persönlich haftet, tritt der Wert des Absonderungsrechts an die Stelle des Forderungsbetrags.</w:t>
      </w:r>
    </w:p>
    <w:p>
      <w:r>
        <w:rPr>
          <w:color w:val="555555"/>
          <w:sz w:val="17"/>
        </w:rPr>
        <w:t xml:space="preserve">Zitiervorschlag: § 76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