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InsO — Einsetzung des Gläubigerausschusses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der ersten Gläubigerversammlung kann das Insolvenzgericht einen Gläubigerausschuß einsetzen.</w:t>
      </w:r>
    </w:p>
    <w:p>
      <w:r>
        <w:t xml:space="preserve">(2) Im Gläubigerausschuß sollen die absonderungsberechtigten Gläubiger, die Insolvenzgläubiger mit den höchsten Forderungen und die Kleingläubiger vertreten sein. Dem Ausschuß soll ein Vertreter der Arbeitnehmer angehören.</w:t>
      </w:r>
    </w:p>
    <w:p>
      <w:r>
        <w:t xml:space="preserve">(3) Zu Mitgliedern des Gläubigerausschusses können auch Personen bestellt werden, die keine Gläubiger sind.</w:t>
      </w:r>
    </w:p>
    <w:p>
      <w:r>
        <w:rPr>
          <w:color w:val="555555"/>
          <w:sz w:val="17"/>
        </w:rPr>
        <w:t xml:space="preserve">Zitiervorschlag: § 67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