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InsO — Festsetzung durch das Gericht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Insolvenzgericht setzt die Vergütung und die zu erstattenden Auslagen des Insolvenzverwalters durch Beschluß fest.</w:t>
      </w:r>
    </w:p>
    <w:p>
      <w:r>
        <w:t xml:space="preserve">(2) Der Beschluß ist öffentlich bekanntzumachen und dem Verwalter, dem Schuldner und, wenn ein Gläubigerausschuß bestellt ist, den Mitgliedern des Ausschusses besonders zuzustellen. Die festgesetzten Beträge sind nicht zu veröffentlichen; in der öffentlichen Bekanntmachung ist darauf hinzuweisen, daß der vollständige Beschluß in der Geschäftsstelle eingesehen werden kann.</w:t>
      </w:r>
    </w:p>
    <w:p>
      <w:r>
        <w:t xml:space="preserve">(3) Gegen den Beschluß steht dem Verwalter, dem Schuldner und jedem Insolvenzgläubiger die sofortige Beschwerde zu. § 567 Abs. 2 der Zivilprozeßordnung gilt entsprechend.</w:t>
      </w:r>
    </w:p>
    <w:p>
      <w:r>
        <w:rPr>
          <w:color w:val="555555"/>
          <w:sz w:val="17"/>
        </w:rPr>
        <w:t xml:space="preserve">Zitiervorschlag: § 64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