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InsO — Verjährung</w:t>
      </w:r>
    </w:p>
    <w:p>
      <w:r>
        <w:rPr>
          <w:color w:val="555555"/>
          <w:sz w:val="18"/>
        </w:rPr>
        <w:t xml:space="preserve">Insolvenzordnung</w:t>
      </w:r>
    </w:p>
    <w:p>
      <w:r>
        <w:rPr>
          <w:color w:val="555555"/>
          <w:sz w:val="18"/>
        </w:rPr>
        <w:t xml:space="preserve">Stand: 10.06.2019 (konsolidierte Textfassung, kein amtliches Inkrafttretensdatum)</w:t>
      </w:r>
    </w:p>
    <w:p>
      <w:r>
        <w:t xml:space="preserve">Die Verjährung des Anspruchs auf Ersatz des Schadens, der aus einer Pflichtverletzung des Insolvenzverwalters entstanden ist, richtet sich nach den Regelungen über die regelmäßige Verjährung nach dem Bürgerlichen Gesetzbuch. Der Anspruch verjährt spätestens in drei Jahren von der Aufhebung oder der Rechtskraft der Einstellung des Insolvenzverfahrens an. Für Pflichtverletzungen, die im Rahmen einer Nachtragsverteilung (§ 203) oder einer Überwachung der Planerfüllung (§ 260) begangen worden sind, gilt Satz 2 mit der Maßgabe, daß an die Stelle der Aufhebung des Insolvenzverfahrens der Vollzug der Nachtragsverteilung oder die Beendigung der Überwachung tritt.</w:t>
      </w:r>
    </w:p>
    <w:p>
      <w:r>
        <w:rPr>
          <w:color w:val="555555"/>
          <w:sz w:val="17"/>
        </w:rPr>
        <w:t xml:space="preserve">Zitiervorschlag: § 62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