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InsO — Nichterfüllung von Masseverbindlichkeiten</w:t>
      </w:r>
    </w:p>
    <w:p>
      <w:r>
        <w:rPr>
          <w:color w:val="555555"/>
          <w:sz w:val="18"/>
        </w:rPr>
        <w:t xml:space="preserve">Insolvenzordnung</w:t>
      </w:r>
    </w:p>
    <w:p>
      <w:r>
        <w:rPr>
          <w:color w:val="555555"/>
          <w:sz w:val="18"/>
        </w:rPr>
        <w:t xml:space="preserve">Stand: 10.06.2019 (konsolidierte Textfassung, kein amtliches Inkrafttretensdatum)</w:t>
      </w:r>
    </w:p>
    <w:p>
      <w:r>
        <w:t xml:space="preserve">Kann eine Masseverbindlichkeit, die durch eine Rechtshandlung des Insolvenzverwalters begründet worden ist, aus der Insolvenzmasse nicht voll erfüllt werden, so ist der Verwalter dem Massegläubiger zum Schadenersatz verpflichtet. Dies gilt nicht, wenn der Verwalter bei der Begründung der Verbindlichkeit nicht erkennen konnte, daß die Masse voraussichtlich zur Erfüllung nicht ausreichen würde.</w:t>
      </w:r>
    </w:p>
    <w:p>
      <w:r>
        <w:rPr>
          <w:color w:val="555555"/>
          <w:sz w:val="17"/>
        </w:rPr>
        <w:t xml:space="preserve">Zitiervorschlag: § 61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