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InsO — Sofortige Beschwerde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Entscheidungen des Insolvenzgerichts unterliegen nur in den Fällen einem Rechtsmittel, in denen dieses Gesetz die sofortige Beschwerde vorsieht. Die sofortige Beschwerde ist bei dem Insolvenzgericht einzulegen.</w:t>
      </w:r>
    </w:p>
    <w:p>
      <w:r>
        <w:t xml:space="preserve">(2) Die Beschwerdefrist beginnt mit der Verkündung der Entscheidung oder, wenn diese nicht verkündet wird, mit deren Zustellung.</w:t>
      </w:r>
    </w:p>
    <w:p>
      <w:r>
        <w:t xml:space="preserve">(3) Die Entscheidung über die Beschwerde wird erst mit der Rechtskraft wirksam. Das Beschwerdegericht kann jedoch die sofortige Wirksamkeit der Entscheidung anordnen.</w:t>
      </w:r>
    </w:p>
    <w:p>
      <w:r>
        <w:rPr>
          <w:color w:val="555555"/>
          <w:sz w:val="17"/>
        </w:rPr>
        <w:t xml:space="preserve">Zitiervorschlag: § 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