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InsO — Ausfall der Absonderungsberechtigten</w:t>
      </w:r>
    </w:p>
    <w:p>
      <w:r>
        <w:rPr>
          <w:color w:val="555555"/>
          <w:sz w:val="18"/>
        </w:rPr>
        <w:t xml:space="preserve">Insolvenzordnung</w:t>
      </w:r>
    </w:p>
    <w:p>
      <w:r>
        <w:rPr>
          <w:color w:val="555555"/>
          <w:sz w:val="18"/>
        </w:rPr>
        <w:t xml:space="preserve">Stand: 10.06.2019 (konsolidierte Textfassung, kein amtliches Inkrafttretensdatum)</w:t>
      </w:r>
    </w:p>
    <w:p>
      <w:r>
        <w:t xml:space="preserve">Gläubiger, die abgesonderte Befriedigung beanspruchen können, sind Insolvenzgläubiger, soweit ihnen der Schuldner auch persönlich haftet. Sie sind zur anteilsmäßigen Befriedigung aus der Insolvenzmasse jedoch nur berechtigt, soweit sie auf eine abgesonderte Befriedigung verzichten oder bei ihr ausgefallen sind.</w:t>
      </w:r>
    </w:p>
    <w:p>
      <w:r>
        <w:rPr>
          <w:color w:val="555555"/>
          <w:sz w:val="17"/>
        </w:rPr>
        <w:t xml:space="preserve">Zitiervorschlag: § 52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