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InsO — Sonstige Absonderungsberechtigte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in § 50 genannten Gläubigern stehen gleich:</w:t>
      </w:r>
    </w:p>
    <w:p>
      <w:pPr>
        <w:ind w:left="420"/>
      </w:pPr>
      <w:r>
        <w:t xml:space="preserve">1. Gläubiger, denen der Schuldner zur Sicherung eines Anspruchs eine bewegliche Sache übereignet oder ein Recht übertragen hat;</w:t>
      </w:r>
    </w:p>
    <w:p>
      <w:pPr>
        <w:ind w:left="420"/>
      </w:pPr>
      <w:r>
        <w:t xml:space="preserve">2. Gläubiger, denen ein Zurückbehaltungsrecht an einer Sache zusteht, weil sie etwas zum Nutzen der Sache verwendet haben, soweit ihre Forderung aus der Verwendung den noch vorhandenen Vorteil nicht übersteigt;</w:t>
      </w:r>
    </w:p>
    <w:p>
      <w:pPr>
        <w:ind w:left="420"/>
      </w:pPr>
      <w:r>
        <w:t xml:space="preserve">3. Gläubiger, denen nach dem Handelsgesetzbuch ein Zurückbehaltungsrecht zusteht;</w:t>
      </w:r>
    </w:p>
    <w:p>
      <w:pPr>
        <w:ind w:left="420"/>
      </w:pPr>
      <w:r>
        <w:t xml:space="preserve">4. Bund, Länder, Gemeinden und Gemeindeverbände, soweit ihnen zoll- und steuerpflichtige Sachen nach gesetzlichen Vorschriften als Sicherheit für öffentliche Abgaben dienen.</w:t>
      </w:r>
    </w:p>
    <w:p>
      <w:r>
        <w:rPr>
          <w:color w:val="555555"/>
          <w:sz w:val="17"/>
        </w:rPr>
        <w:t xml:space="preserve">Zitiervorschlag: § 51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