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InsO — Abgesonderte Befriedigung aus unbeweglichen Gegenständen</w:t>
      </w:r>
    </w:p>
    <w:p>
      <w:r>
        <w:rPr>
          <w:color w:val="555555"/>
          <w:sz w:val="18"/>
        </w:rPr>
        <w:t xml:space="preserve">Insolvenzordnung</w:t>
      </w:r>
    </w:p>
    <w:p>
      <w:r>
        <w:rPr>
          <w:color w:val="555555"/>
          <w:sz w:val="18"/>
        </w:rPr>
        <w:t xml:space="preserve">Stand: 10.06.2019 (konsolidierte Textfassung, kein amtliches Inkrafttretensdatum)</w:t>
      </w:r>
    </w:p>
    <w:p>
      <w:r>
        <w:t xml:space="preserve">Gläubiger, denen ein Recht auf Befriedigung aus Gegenständen zusteht, die der Zwangsvollstreckung in das unbewegliche Vermögen unterliegen (unbewegliche Gegenstände), sind nach Maßgabe des Gesetzes über die Zwangsversteigerung und die Zwangsverwaltung zur abgesonderten Befriedigung berechtigt.</w:t>
      </w:r>
    </w:p>
    <w:p>
      <w:r>
        <w:rPr>
          <w:color w:val="555555"/>
          <w:sz w:val="17"/>
        </w:rPr>
        <w:t xml:space="preserve">Zitiervorschlag: § 49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