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InsO — Aussonderung</w:t>
      </w:r>
    </w:p>
    <w:p>
      <w:r>
        <w:rPr>
          <w:color w:val="555555"/>
          <w:sz w:val="18"/>
        </w:rPr>
        <w:t xml:space="preserve">Insolvenzordnung</w:t>
      </w:r>
    </w:p>
    <w:p>
      <w:r>
        <w:rPr>
          <w:color w:val="555555"/>
          <w:sz w:val="18"/>
        </w:rPr>
        <w:t xml:space="preserve">Stand: 10.06.2019 (konsolidierte Textfassung, kein amtliches Inkrafttretensdatum)</w:t>
      </w:r>
    </w:p>
    <w:p>
      <w:r>
        <w:t xml:space="preserve">Wer auf Grund eines dinglichen oder persönlichen Rechts geltend machen kann, daß ein Gegenstand nicht zur Insolvenzmasse gehört, ist kein Insolvenzgläubiger. Sein Anspruch auf Aussonderung des Gegenstands bestimmt sich nach den Gesetzen, die außerhalb des Insolvenzverfahrens gelten.</w:t>
      </w:r>
    </w:p>
    <w:p>
      <w:r>
        <w:rPr>
          <w:color w:val="555555"/>
          <w:sz w:val="17"/>
        </w:rPr>
        <w:t xml:space="preserve">Zitiervorschlag: § 47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