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InsO — Rechte der Gesamtschuldner und Bürgen</w:t>
      </w:r>
    </w:p>
    <w:p>
      <w:r>
        <w:rPr>
          <w:color w:val="555555"/>
          <w:sz w:val="18"/>
        </w:rPr>
        <w:t xml:space="preserve">Insolvenzordnung</w:t>
      </w:r>
    </w:p>
    <w:p>
      <w:r>
        <w:rPr>
          <w:color w:val="555555"/>
          <w:sz w:val="18"/>
        </w:rPr>
        <w:t xml:space="preserve">Stand: 10.06.2019 (konsolidierte Textfassung, kein amtliches Inkrafttretensdatum)</w:t>
      </w:r>
    </w:p>
    <w:p>
      <w:r>
        <w:t xml:space="preserve">Der Gesamtschuldner und der Bürge können die Forderung, die sie durch eine Befriedigung des Gläubigers künftig gegen den Schuldner erwerben könnten, im Insolvenzverfahren nur dann geltend machen, wenn der Gläubiger seine Forderung nicht geltend macht.</w:t>
      </w:r>
    </w:p>
    <w:p>
      <w:r>
        <w:rPr>
          <w:color w:val="555555"/>
          <w:sz w:val="17"/>
        </w:rPr>
        <w:t xml:space="preserve">Zitiervorschlag: § 44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