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InsO — Unternehmensgruppe</w:t>
      </w:r>
    </w:p>
    <w:p>
      <w:r>
        <w:rPr>
          <w:color w:val="555555"/>
          <w:sz w:val="18"/>
        </w:rPr>
        <w:t xml:space="preserve">Insolvenzordnung</w:t>
      </w:r>
    </w:p>
    <w:p>
      <w:r>
        <w:rPr>
          <w:color w:val="555555"/>
          <w:sz w:val="18"/>
        </w:rPr>
        <w:t xml:space="preserve">Stand: 10.06.2019 (konsolidierte Textfassung, kein amtliches Inkrafttretensdatum)</w:t>
      </w:r>
    </w:p>
    <w:p>
      <w:r>
        <w:t xml:space="preserve">(1) Eine Unternehmensgruppe im Sinne dieses Gesetzes besteht aus rechtlich selbständigen Unternehmen, die den Mittelpunkt ihrer hauptsächlichen Interessen im Inland haben und die unmittelbar oder mittelbar miteinander verbunden sind durch</w:t>
      </w:r>
    </w:p>
    <w:p>
      <w:pPr>
        <w:ind w:left="420"/>
      </w:pPr>
      <w:r>
        <w:t xml:space="preserve">1. die Möglichkeit der Ausübung eines beherrschenden Einflusses oder</w:t>
      </w:r>
    </w:p>
    <w:p>
      <w:pPr>
        <w:ind w:left="420"/>
      </w:pPr>
      <w:r>
        <w:t xml:space="preserve">2. eine Zusammenfassung unter einheitlicher Leitung.</w:t>
      </w:r>
    </w:p>
    <w:p>
      <w:r>
        <w:t xml:space="preserve">(2) Als Unternehmensgruppe im Sinne des Absatzes 1 gelten auch eine Gesellschaft und ihre persönlich haftenden Gesellschafter, wenn zu diesen weder eine natürliche Person noch eine Gesellschaft zählt, an der eine natürliche Person als persönlich haftender Gesellschafter beteiligt ist, oder sich die Verbindung von Gesellschaften in dieser Art fortsetzt.</w:t>
      </w:r>
    </w:p>
    <w:p>
      <w:r>
        <w:rPr>
          <w:color w:val="555555"/>
          <w:sz w:val="17"/>
        </w:rPr>
        <w:t xml:space="preserve">Zitiervorschlag: § 3e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