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InsO — Gruppen-Gerichtsstand</w:t>
      </w:r>
    </w:p>
    <w:p>
      <w:r>
        <w:rPr>
          <w:color w:val="555555"/>
          <w:sz w:val="18"/>
        </w:rPr>
        <w:t xml:space="preserve">Insolvenzordnung</w:t>
      </w:r>
    </w:p>
    <w:p>
      <w:r>
        <w:rPr>
          <w:color w:val="555555"/>
          <w:sz w:val="18"/>
        </w:rPr>
        <w:t xml:space="preserve">Stand: 01.01.2021 (konsolidierte Textfassung, kein amtliches Inkrafttretensdatum)</w:t>
      </w:r>
    </w:p>
    <w:p>
      <w:r>
        <w:t xml:space="preserve">(1) Auf Antrag eines Schuldners, der einer Unternehmensgruppe im Sinne von § 3e angehört (gruppenangehöriger Schuldner), erklärt sich das angerufene Insolvenzgericht für die Insolvenzverfahren über die anderen gruppenangehörigen Schuldner (Gruppen-Folgeverfahren) für zuständig, wenn in Bezug auf den Schuldner ein zulässiger Eröffnungsantrag vorliegt und der Schuldner nicht offensichtlich von untergeordneter Bedeutung für die gesamte Unternehmensgruppe ist. Eine untergeordnete Bedeutung ist in der Regel nicht anzunehmen, wenn im vorangegangenen abgeschlossenen Geschäftsjahr die Zahl der vom Schuldner im Jahresdurchschnitt beschäftigten Arbeitnehmer mehr als 15 Prozent der in der Unternehmensgruppe im Jahresdurchschnitt beschäftigten Arbeitnehmer ausmachte und</w:t>
      </w:r>
    </w:p>
    <w:p>
      <w:pPr>
        <w:ind w:left="420"/>
      </w:pPr>
      <w:r>
        <w:t xml:space="preserve">1. die Bilanzsumme des Schuldners mehr als 15 Prozent der zusammengefassten Bilanzsumme der Unternehmensgruppe betrug oder</w:t>
      </w:r>
    </w:p>
    <w:p>
      <w:pPr>
        <w:ind w:left="420"/>
      </w:pPr>
      <w:r>
        <w:t xml:space="preserve">2. die Umsatzerlöse des Schuldners mehr als 15 Prozent der zusammengefassten Umsatzerlöse der Unternehmensgruppe betrugen.</w:t>
      </w:r>
    </w:p>
    <w:p>
      <w:r>
        <w:t xml:space="preserve">Haben mehrere gruppenangehörige Schuldner zeitgleich einen Antrag nach Satz 1 gestellt oder ist bei mehreren Anträgen unklar, welcher Antrag zuerst gestellt worden ist, ist der Antrag des Schuldners maßgeblich, der im vergangenen abgeschlossenen Geschäftsjahr die meisten Arbeitnehmer beschäftigt hat; die anderen Anträge sind unzulässig. Erfüllt keiner der gruppenangehörigen Schuldner die Voraussetzungen des Satzes 2, kann der Gruppen-Gerichtsstand jedenfalls bei dem Gericht begründet werden, das für die Eröffnung des Verfahrens für den gruppenangehörigen Schuldner zuständig ist, der im vorangegangenen abgeschlossenen Geschäftsjahr im Jahresdurchschnitt die meisten Arbeitnehmer beschäftigt hat.</w:t>
      </w:r>
    </w:p>
    <w:p>
      <w:r>
        <w:t xml:space="preserve">(2) Bestehen Zweifel daran, dass eine Verfahrenskonzentration am angerufenen Insolvenzgericht im gemeinsamen Interesse der Gläubiger liegt, kann das Gericht den Antrag nach Absatz 1 Satz 1 ablehnen.</w:t>
      </w:r>
    </w:p>
    <w:p>
      <w:r>
        <w:t xml:space="preserve">(3) Das Antragsrecht des Schuldners geht mit der Eröffnung des Insolvenzverfahrens auf den Insolvenzverwalter und mit der Bestellung eines vorläufigen Insolvenzverwalters, auf den die Verwaltungs- und Verfügungsbefugnis über das Vermögen des Schuldners übergeht, auf diesen über.</w:t>
      </w:r>
    </w:p>
    <w:p>
      <w:r>
        <w:t xml:space="preserve">(4) Auf Antrag des Schuldners erklärt sich unter den Voraussetzungen des Absatzes 1 das für Gruppen-Folgeverfahren zuständige Gericht, sofern es nach § 34 des Unternehmensstabilisierungs- und -restrukturierungsgesetzes für Entscheidungen in Restrukturierungssachen zuständig ist, als Restrukturierungsgericht auch für Gruppen-Folgeverfahren in Insolvenzsachen nach Absatz 1 für zuständig.</w:t>
      </w:r>
    </w:p>
    <w:p>
      <w:r>
        <w:rPr>
          <w:color w:val="555555"/>
          <w:sz w:val="17"/>
        </w:rPr>
        <w:t xml:space="preserve">Zitiervorschlag: § 3a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