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 InsO — Zusammenarbeit der Insolvenzverwalter</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dem ausländischen Verwalter unverzüglich alle Umstände mitzuteilen, die für die Durchführung des ausländischen Verfahrens Bedeutung haben können. Er hat dem ausländischen Verwalter Gelegenheit zu geben, Vorschläge für die Verwertung oder sonstige Verwendung des inländischen Vermögens zu unterbreiten.</w:t>
      </w:r>
    </w:p>
    <w:p>
      <w:r>
        <w:t xml:space="preserve">(2) Der ausländische Verwalter ist berechtigt, an den Gläubigerversammlungen teilzunehmen.</w:t>
      </w:r>
    </w:p>
    <w:p>
      <w:r>
        <w:t xml:space="preserve">(3) Ein Insolvenzplan ist dem ausländischen Verwalter zur Stellungnahme zuzuleiten. Der ausländische Verwalter ist berechtigt, selbst einen Plan vorzulegen. § 218 Abs. 1 Satz 2 und 3 gilt entsprechend.</w:t>
      </w:r>
    </w:p>
    <w:p>
      <w:r>
        <w:rPr>
          <w:color w:val="555555"/>
          <w:sz w:val="17"/>
        </w:rPr>
        <w:t xml:space="preserve">Zitiervorschlag: § 357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