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356 InsO — Sekundärinsolvenzverfahren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Anerkennung eines ausländischen Hauptinsolvenzverfahrens schließt ein Sekundärinsolvenzverfahren über das inländische Vermögen nicht aus. Für das Sekundärinsolvenzverfahren gelten ergänzend die §§ 357 und 358.</w:t>
      </w:r>
    </w:p>
    <w:p>
      <w:r>
        <w:t xml:space="preserve">(2) Zum Antrag auf Eröffnung des Sekundärinsolvenzverfahrens ist auch der ausländische Insolvenzverwalter berechtigt.</w:t>
      </w:r>
    </w:p>
    <w:p>
      <w:r>
        <w:t xml:space="preserve">(3) Das Verfahren wird eröffnet, ohne dass ein Eröffnungsgrund festgestellt werden muss.</w:t>
      </w:r>
    </w:p>
    <w:p>
      <w:r>
        <w:rPr>
          <w:color w:val="555555"/>
          <w:sz w:val="17"/>
        </w:rPr>
        <w:t xml:space="preserve">Zitiervorschlag: § 356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