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351 InsO — Dingliche Rechte</w:t>
      </w:r>
    </w:p>
    <w:p>
      <w:r>
        <w:rPr>
          <w:color w:val="555555"/>
          <w:sz w:val="18"/>
        </w:rPr>
        <w:t xml:space="preserve">Insolvenzordnung</w:t>
      </w:r>
    </w:p>
    <w:p>
      <w:r>
        <w:rPr>
          <w:color w:val="555555"/>
          <w:sz w:val="18"/>
        </w:rPr>
        <w:t xml:space="preserve">Stand: 10.06.2019 (konsolidierte Textfassung, kein amtliches Inkrafttretensdatum)</w:t>
      </w:r>
    </w:p>
    <w:p>
      <w:r>
        <w:t xml:space="preserve">(1) Das Recht eines Dritten an einem Gegenstand der Insolvenzmasse, der zur Zeit der Eröffnung des ausländischen Insolvenzverfahrens im Inland belegen war, und das nach inländischem Recht einen Anspruch auf Aussonderung oder auf abgesonderte Befriedigung gewährt, wird von der Eröffnung des ausländischen Insolvenzverfahrens nicht berührt.</w:t>
      </w:r>
    </w:p>
    <w:p>
      <w:r>
        <w:t xml:space="preserve">(2) Die Wirkungen des ausländischen Insolvenzverfahrens auf Rechte des Schuldners an unbeweglichen Gegenständen, die im Inland belegen sind, bestimmen sich, unbeschadet des § 336 Satz 2, nach deutschem Recht.</w:t>
      </w:r>
    </w:p>
    <w:p>
      <w:r>
        <w:rPr>
          <w:color w:val="555555"/>
          <w:sz w:val="17"/>
        </w:rPr>
        <w:t xml:space="preserve">Zitiervorschlag: § 351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