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349 InsO — Verfügungen über unbewegliche Gegenstände</w:t>
      </w:r>
    </w:p>
    <w:p>
      <w:r>
        <w:rPr>
          <w:color w:val="555555"/>
          <w:sz w:val="18"/>
        </w:rPr>
        <w:t xml:space="preserve">Insolvenzordnung</w:t>
      </w:r>
    </w:p>
    <w:p>
      <w:r>
        <w:rPr>
          <w:color w:val="555555"/>
          <w:sz w:val="18"/>
        </w:rPr>
        <w:t xml:space="preserve">Stand: 10.06.2019 (konsolidierte Textfassung, kein amtliches Inkrafttretensdatum)</w:t>
      </w:r>
    </w:p>
    <w:p>
      <w:r>
        <w:t xml:space="preserve">(1) Hat der Schuldner über einen Gegenstand der Insolvenzmasse, der im Inland im Grundbuch, Schiffsregister, Schiffsbauregister oder Register für Pfandrechte an Luftfahrzeugen eingetragen ist, oder über ein Recht an einem solchen Gegenstand verfügt, so sind die §§ 878, 892, 893 des Bürgerlichen Gesetzbuchs, § 3 Abs. 3, §§ 16, 17 des Gesetzes über Rechte an eingetragenen Schiffen und Schiffsbauwerken und § 5 Abs. 3, §§ 16, 17 des Gesetzes über Rechte an Luftfahrzeugen anzuwenden.</w:t>
      </w:r>
    </w:p>
    <w:p>
      <w:r>
        <w:t xml:space="preserve">(2) Ist zur Sicherung eines Anspruchs im Inland eine Vormerkung im Grundbuch, Schiffsregister, Schiffsbauregister oder Register für Pfandrechte an Luftfahrzeugen eingetragen, so bleibt § 106 unberührt.</w:t>
      </w:r>
    </w:p>
    <w:p>
      <w:r>
        <w:rPr>
          <w:color w:val="555555"/>
          <w:sz w:val="17"/>
        </w:rPr>
        <w:t xml:space="preserve">Zitiervorschlag: § 349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https://recht.nulegal.eu/gesetze/InsO/349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