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346 InsO — Grundbuch</w:t>
      </w:r>
    </w:p>
    <w:p>
      <w:r>
        <w:rPr>
          <w:color w:val="555555"/>
          <w:sz w:val="18"/>
        </w:rPr>
        <w:t xml:space="preserve">Insolvenzordnung</w:t>
      </w:r>
    </w:p>
    <w:p>
      <w:r>
        <w:rPr>
          <w:color w:val="555555"/>
          <w:sz w:val="18"/>
        </w:rPr>
        <w:t xml:space="preserve">Stand: 10.06.2019 (konsolidierte Textfassung, kein amtliches Inkrafttretensdatum)</w:t>
      </w:r>
    </w:p>
    <w:p>
      <w:r>
        <w:t xml:space="preserve">(1) Wird durch die Verfahrenseröffnung oder durch Anordnung von Sicherungsmaßnahmen nach § 343 Abs. 2 oder § 344 Abs. 1 die Verfügungsbefugnis des Schuldners eingeschränkt, so hat das Insolvenzgericht auf Antrag des ausländischen Insolvenzverwalters das Grundbuchamt zu ersuchen, die Eröffnung des Insolvenzverfahrens und die Art der Einschränkung der Verfügungsbefugnis des Schuldners in das Grundbuch einzutragen:</w:t>
      </w:r>
    </w:p>
    <w:p>
      <w:pPr>
        <w:ind w:left="420"/>
      </w:pPr>
      <w:r>
        <w:t xml:space="preserve">1. bei Grundstücken, als deren Eigentümer der Schuldner eingetragen ist;</w:t>
      </w:r>
    </w:p>
    <w:p>
      <w:pPr>
        <w:ind w:left="420"/>
      </w:pPr>
      <w:r>
        <w:t xml:space="preserve">2. bei den für den Schuldner eingetragenen Rechten an Grundstücken und an eingetragenen Rechten, wenn nach der Art des Rechts und den Umständen zu befürchten ist, dass ohne die Eintragung die Insolvenzgläubiger benachteiligt würden.</w:t>
      </w:r>
    </w:p>
    <w:p>
      <w:r>
        <w:t xml:space="preserve">(2) Der Antrag nach Absatz 1 ist nur zulässig, wenn glaubhaft gemacht wird, dass die tatsächlichen Voraussetzungen für die Anerkennung der Verfahrenseröffnung vorliegen. Gegen die Entscheidung des Insolvenzgerichts steht dem ausländischen Verwalter die sofortige Beschwerde zu. Für die Löschung der Eintragung gilt § 32 Abs. 3 Satz 1 entsprechend.</w:t>
      </w:r>
    </w:p>
    <w:p>
      <w:r>
        <w:t xml:space="preserve">(3) Für die Eintragung der Verfahrenseröffnung in das Schiffsregister, das Schiffsbauregister und das Register für Pfandrechte an Luftfahrzeugen gelten die Absätze 1 und 2 entsprechend.</w:t>
      </w:r>
    </w:p>
    <w:p>
      <w:r>
        <w:rPr>
          <w:color w:val="555555"/>
          <w:sz w:val="17"/>
        </w:rPr>
        <w:t xml:space="preserve">Zitiervorschlag: § 346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https://recht.nulegal.eu/gesetze/InsO/346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