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344 InsO — Sicherungsmaßnahmen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Wurde im Ausland vor Eröffnung eines Hauptinsolvenzverfahrens ein vorläufiger Verwalter bestellt, so kann auf seinen Antrag das zuständige Insolvenzgericht die Maßnahmen nach § 21 anordnen, die zur Sicherung des von einem inländischen Sekundärinsolvenzverfahren erfassten Vermögens erforderlich erscheinen.</w:t>
      </w:r>
    </w:p>
    <w:p>
      <w:r>
        <w:t xml:space="preserve">(2) Gegen den Beschluss steht auch dem vorläufigen Verwalter die sofortige Beschwerde zu.</w:t>
      </w:r>
    </w:p>
    <w:p>
      <w:r>
        <w:rPr>
          <w:color w:val="555555"/>
          <w:sz w:val="17"/>
        </w:rPr>
        <w:t xml:space="preserve">Zitiervorschlag: § 344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