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343 InsO — Anerkennung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Eröffnung eines ausländischen Insolvenzverfahrens wird anerkannt. Dies gilt nicht,</w:t>
      </w:r>
    </w:p>
    <w:p>
      <w:pPr>
        <w:ind w:left="420"/>
      </w:pPr>
      <w:r>
        <w:t xml:space="preserve">1. wenn die Gerichte des Staats der Verfahrenseröffnung nach deutschem Recht nicht zuständig sind;</w:t>
      </w:r>
    </w:p>
    <w:p>
      <w:pPr>
        <w:ind w:left="420"/>
      </w:pPr>
      <w:r>
        <w:t xml:space="preserve">2. soweit die Anerkennung zu einem Ergebnis führt, das mit wesentlichen Grundsätzen des deutschen Rechts offensichtlich unvereinbar ist, insbesondere soweit sie mit den Grundrechten unvereinbar ist.</w:t>
      </w:r>
    </w:p>
    <w:p>
      <w:r>
        <w:t xml:space="preserve">(2) Absatz 1 gilt entsprechend für Sicherungsmaßnahmen, die nach dem Antrag auf Eröffnung des Insolvenzverfahrens getroffen werden, sowie für Entscheidungen, die zur Durchführung oder Beendigung des anerkannten Insolvenzverfahrens ergangen sind.</w:t>
      </w:r>
    </w:p>
    <w:p>
      <w:r>
        <w:rPr>
          <w:color w:val="555555"/>
          <w:sz w:val="17"/>
        </w:rPr>
        <w:t xml:space="preserve">Zitiervorschlag: § 343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