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340 InsO — Organisierte Märkte. Pensionsgeschäfte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Wirkungen des Insolvenzverfahrens auf die Rechte und Pflichten der Teilnehmer an einem organisierten Markt nach § 2 Absatz 11 des Wertpapierhandelsgesetzes unterliegen dem Recht des Staats, das für diesen Markt gilt.</w:t>
      </w:r>
    </w:p>
    <w:p>
      <w:r>
        <w:t xml:space="preserve">(2) Die Wirkungen des Insolvenzverfahrens auf Pensionsgeschäfte im Sinne des § 340b des Handelsgesetzbuchs sowie auf Schuldumwandlungsverträge und Aufrechnungsvereinbarungen unterliegen dem Recht des Staats, das für diese Verträge maßgebend ist.</w:t>
      </w:r>
    </w:p>
    <w:p>
      <w:r>
        <w:t xml:space="preserve">(3) Für die Teilnehmer an einem System im Sinne von § 1 Abs. 16 des Kreditwesengesetzes gilt Absatz 1 entsprechend.</w:t>
      </w:r>
    </w:p>
    <w:p>
      <w:r>
        <w:rPr>
          <w:color w:val="555555"/>
          <w:sz w:val="17"/>
        </w:rPr>
        <w:t xml:space="preserve">Zitiervorschlag: § 340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