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InsO — Rechtsmittel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Eröffnung des Insolvenzverfahrens abgelehnt, so steht dem Antragsteller und, wenn die Abweisung des Antrags nach § 26 erfolgt, dem Schuldner die sofortige Beschwerde zu.</w:t>
      </w:r>
    </w:p>
    <w:p>
      <w:r>
        <w:t xml:space="preserve">(2) Wird das Insolvenzverfahren eröffnet, so steht dem Schuldner die sofortige Beschwerde zu.</w:t>
      </w:r>
    </w:p>
    <w:p>
      <w:r>
        <w:t xml:space="preserve">(3) Sobald eine Entscheidung, die den Eröffnungsbeschluß aufhebt, Rechtskraft erlangt hat, ist die Aufhebung des Verfahrens öffentlich bekanntzumachen. § 200 Abs. 2 Satz 2 gilt entsprechend. Die Wirkungen der Rechtshandlungen, die vom Insolvenzverwalter oder ihm gegenüber vorgenommen worden sind, werden durch die Aufhebung nicht berührt.</w:t>
      </w:r>
    </w:p>
    <w:p>
      <w:r>
        <w:rPr>
          <w:color w:val="555555"/>
          <w:sz w:val="17"/>
        </w:rPr>
        <w:t xml:space="preserve">Zitiervorschlag: § 34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