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338 InsO — Aufrechnung</w:t>
      </w:r>
    </w:p>
    <w:p>
      <w:r>
        <w:rPr>
          <w:color w:val="555555"/>
          <w:sz w:val="18"/>
        </w:rPr>
        <w:t xml:space="preserve">Insolvenzordnung</w:t>
      </w:r>
    </w:p>
    <w:p>
      <w:r>
        <w:rPr>
          <w:color w:val="555555"/>
          <w:sz w:val="18"/>
        </w:rPr>
        <w:t xml:space="preserve">Stand: 10.06.2019 (konsolidierte Textfassung, kein amtliches Inkrafttretensdatum)</w:t>
      </w:r>
    </w:p>
    <w:p>
      <w:r>
        <w:t xml:space="preserve">Das Recht eines Insolvenzgläubigers zur Aufrechnung wird von der Eröffnung des Insolvenzverfahrens nicht berührt, wenn er nach dem für die Forderung des Schuldners maßgebenden Recht zur Zeit der Eröffnung des Insolvenzverfahrens zur Aufrechnung berechtigt ist.</w:t>
      </w:r>
    </w:p>
    <w:p>
      <w:r>
        <w:rPr>
          <w:color w:val="555555"/>
          <w:sz w:val="17"/>
        </w:rPr>
        <w:t xml:space="preserve">Zitiervorschlag: § 338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