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337 InsO — Arbeitsverhältnis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Wirkungen des Insolvenzverfahrens auf ein Arbeitsverhältnis unterliegen dem Recht, das nach der Verordnung (EG) Nr. 593/2008 des Europäischen Parlaments und des Rates vom 17. Juni 2008 über das auf vertragliche Schuldverhältnisse anzuwendende Recht (Rom I) (ABl. L 177 vom 4.7.2008, S. 6) für das Arbeitsverhältnis maßgebend ist.</w:t>
      </w:r>
    </w:p>
    <w:p>
      <w:r>
        <w:rPr>
          <w:color w:val="555555"/>
          <w:sz w:val="17"/>
        </w:rPr>
        <w:t xml:space="preserve">Zitiervorschlag: § 337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https://recht.nulegal.eu/gesetze/InsO/337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