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332 InsO — Verweisung auf das Nachlaßinsolvenzverfahren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der fortgesetzten Gütergemeinschaft gelten die §§ 315 bis 331 entsprechend für das Insolvenzverfahren über das Gesamtgut.</w:t>
      </w:r>
    </w:p>
    <w:p>
      <w:r>
        <w:t xml:space="preserve">(2) Insolvenzgläubiger sind nur die Gläubiger, deren Forderungen schon zur Zeit des Eintritts der fortgesetzten Gütergemeinschaft als Gesamtgutsverbindlichkeiten bestanden.</w:t>
      </w:r>
    </w:p>
    <w:p>
      <w:r>
        <w:t xml:space="preserve">(3) Die anteilsberechtigten Abkömmlinge sind nicht berechtigt, die Eröffnung des Verfahrens zu beantragen. Sie sind jedoch vom Insolvenzgericht zu einem Eröffnungsantrag zu hören.</w:t>
      </w:r>
    </w:p>
    <w:p>
      <w:r>
        <w:rPr>
          <w:color w:val="555555"/>
          <w:sz w:val="17"/>
        </w:rPr>
        <w:t xml:space="preserve">Zitiervorschlag: § 332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