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330 InsO — Erbschaftskauf</w:t>
      </w:r>
    </w:p>
    <w:p>
      <w:r>
        <w:rPr>
          <w:color w:val="555555"/>
          <w:sz w:val="18"/>
        </w:rPr>
        <w:t xml:space="preserve">Insolvenzordnung</w:t>
      </w:r>
    </w:p>
    <w:p>
      <w:r>
        <w:rPr>
          <w:color w:val="555555"/>
          <w:sz w:val="18"/>
        </w:rPr>
        <w:t xml:space="preserve">Stand: 10.06.2019 (konsolidierte Textfassung, kein amtliches Inkrafttretensdatum)</w:t>
      </w:r>
    </w:p>
    <w:p>
      <w:r>
        <w:t xml:space="preserve">(1) Hat der Erbe die Erbschaft verkauft, so tritt für das Insolvenzverfahren der Käufer an seine Stelle.</w:t>
      </w:r>
    </w:p>
    <w:p>
      <w:r>
        <w:t xml:space="preserve">(2) Der Erbe ist wegen einer Nachlaßverbindlichkeit, die im Verhältnis zwischen ihm und dem Käufer diesem zur Last fällt, wie ein Nachlaßgläubiger zum Antrag auf Eröffnung des Verfahrens berechtigt. Das gleiche Recht steht ihm auch wegen einer anderen Nachlaßverbindlichkeit zu, es sei denn, daß er unbeschränkt haftet oder daß eine Nachlaßverwaltung angeordnet ist. Die §§ 323, 324 Abs. 1 Nr. 1 und § 326 gelten für den Erben auch nach dem Verkauf der Erbschaft.</w:t>
      </w:r>
    </w:p>
    <w:p>
      <w:r>
        <w:t xml:space="preserve">(3) Die Absätze 1 und 2 gelten entsprechend für den Fall, daß jemand eine durch Vertrag erworbene Erbschaft verkauft oder sich in sonstiger Weise zur Veräußerung einer ihm angefallenen oder anderweitig von ihm erworbenen Erbschaft verpflichtet hat.</w:t>
      </w:r>
    </w:p>
    <w:p>
      <w:r>
        <w:rPr>
          <w:color w:val="555555"/>
          <w:sz w:val="17"/>
        </w:rPr>
        <w:t xml:space="preserve">Zitiervorschlag: § 330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