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329 InsO — Nacherbfolge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323, 324 Abs. 1 Nr. 1 und § 326 Abs. 2, 3 gelten für den Vorerben auch nach dem Eintritt der Nacherbfolge.</w:t>
      </w:r>
    </w:p>
    <w:p>
      <w:r>
        <w:rPr>
          <w:color w:val="555555"/>
          <w:sz w:val="17"/>
        </w:rPr>
        <w:t xml:space="preserve">Zitiervorschlag: § 329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https://recht.nulegal.eu/gesetze/InsO/329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