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326 InsO — Ansprüche des Erben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Erbe kann die ihm gegen den Erblasser zustehenden Ansprüche geltend machen.</w:t>
      </w:r>
    </w:p>
    <w:p>
      <w:r>
        <w:t xml:space="preserve">(2) Hat der Erbe eine Nachlaßverbindlichkeit erfüllt, so tritt er, soweit nicht die Erfüllung nach § 1979 des Bürgerlichen Gesetzbuchs als für Rechnung des Nachlasses erfolgt gilt, an die Stelle des Gläubigers, es sei denn, daß er für die Nachlaßverbindlichkeiten unbeschränkt haftet.</w:t>
      </w:r>
    </w:p>
    <w:p>
      <w:r>
        <w:t xml:space="preserve">(3) Haftet der Erbe einem einzelnen Gläubiger gegenüber unbeschränkt, so kann er dessen Forderung für den Fall geltend machen, daß der Gläubiger sie nicht geltend macht.</w:t>
      </w:r>
    </w:p>
    <w:p>
      <w:r>
        <w:rPr>
          <w:color w:val="555555"/>
          <w:sz w:val="17"/>
        </w:rPr>
        <w:t xml:space="preserve">Zitiervorschlag: § 326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https://recht.nulegal.eu/gesetze/InsO/326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