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324 InsO — Masseverbindlichkeiten</w:t>
      </w:r>
    </w:p>
    <w:p>
      <w:r>
        <w:rPr>
          <w:color w:val="555555"/>
          <w:sz w:val="18"/>
        </w:rPr>
        <w:t xml:space="preserve">Insolvenzordnung</w:t>
      </w:r>
    </w:p>
    <w:p>
      <w:r>
        <w:rPr>
          <w:color w:val="555555"/>
          <w:sz w:val="18"/>
        </w:rPr>
        <w:t xml:space="preserve">Stand: 10.06.2019 (konsolidierte Textfassung, kein amtliches Inkrafttretensdatum)</w:t>
      </w:r>
    </w:p>
    <w:p>
      <w:r>
        <w:t xml:space="preserve">(1) Masseverbindlichkeiten sind außer den in den §§ 54, 55 bezeichneten Verbindlichkeiten:</w:t>
      </w:r>
    </w:p>
    <w:p>
      <w:pPr>
        <w:ind w:left="420"/>
      </w:pPr>
      <w:r>
        <w:t xml:space="preserve">1. die Aufwendungen, die dem Erben nach den §§ 1978, 1979 des Bürgerlichen Gesetzbuchs aus dem Nachlaß zu ersetzen sind;</w:t>
      </w:r>
    </w:p>
    <w:p>
      <w:pPr>
        <w:ind w:left="420"/>
      </w:pPr>
      <w:r>
        <w:t xml:space="preserve">2. die Kosten der Beerdigung des Erblassers;</w:t>
      </w:r>
    </w:p>
    <w:p>
      <w:pPr>
        <w:ind w:left="420"/>
      </w:pPr>
      <w:r>
        <w:t xml:space="preserve">3. die im Falle der Todeserklärung des Erblassers dem Nachlaß zur Last fallenden Kosten des Verfahrens;</w:t>
      </w:r>
    </w:p>
    <w:p>
      <w:pPr>
        <w:ind w:left="420"/>
      </w:pPr>
      <w:r>
        <w:t xml:space="preserve">4. die Kosten der Eröffnung einer Verfügung des Erblassers von Todes wegen, der gerichtlichen Sicherung des Nachlasses, einer Nachlaßpflegschaft, des Aufgebots der Nachlaßgläubiger und der Inventarerrichtung;</w:t>
      </w:r>
    </w:p>
    <w:p>
      <w:pPr>
        <w:ind w:left="420"/>
      </w:pPr>
      <w:r>
        <w:t xml:space="preserve">5. die Verbindlichkeiten aus den von einem Nachlaßpfleger oder einem Testamentsvollstrecker vorgenommenen Rechtsgeschäften;</w:t>
      </w:r>
    </w:p>
    <w:p>
      <w:pPr>
        <w:ind w:left="420"/>
      </w:pPr>
      <w:r>
        <w:t xml:space="preserve">6. die Verbindlichkeiten, die für den Erben gegenüber einem Nachlaßpfleger, einem Testamentsvollstrecker oder einem Erben, der die Erbschaft ausgeschlagen hat, aus der Geschäftsführung dieser Personen entstanden sind, soweit die Nachlaßgläubiger verpflichtet wären, wenn die bezeichneten Personen die Geschäfte für sie zu besorgen gehabt hätten.</w:t>
      </w:r>
    </w:p>
    <w:p>
      <w:r>
        <w:t xml:space="preserve">(2) Im Falle der Masseunzulänglichkeit haben die in Absatz 1 bezeichneten Verbindlichkeiten den Rang des § 209 Abs. 1 Nr. 3.</w:t>
      </w:r>
    </w:p>
    <w:p>
      <w:r>
        <w:rPr>
          <w:color w:val="555555"/>
          <w:sz w:val="17"/>
        </w:rPr>
        <w:t xml:space="preserve">Zitiervorschlag: § 324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