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321 InsO — Zwangsvollstreckung nach Erbfall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Maßnahmen der Zwangsvollstreckung in den Nachlaß, die nach dem Eintritt des Erbfalls erfolgt sind, gewähren kein Recht zur abgesonderten Befriedigung.</w:t>
      </w:r>
    </w:p>
    <w:p>
      <w:r>
        <w:rPr>
          <w:color w:val="555555"/>
          <w:sz w:val="17"/>
        </w:rPr>
        <w:t xml:space="preserve">Zitiervorschlag: § 321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https://recht.nulegal.eu/gesetze/InsO/321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