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319 InsO — Antragsfrist</w:t>
      </w:r>
    </w:p>
    <w:p>
      <w:r>
        <w:rPr>
          <w:color w:val="555555"/>
          <w:sz w:val="18"/>
        </w:rPr>
        <w:t xml:space="preserve">Insolvenzordnung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Antrag eines Nachlaßgläubigers auf Eröffnung des Insolvenzverfahrens ist unzulässig, wenn seit der Annahme der Erbschaft zwei Jahre verstrichen sind.</w:t>
      </w:r>
    </w:p>
    <w:p>
      <w:r>
        <w:rPr>
          <w:color w:val="555555"/>
          <w:sz w:val="17"/>
        </w:rPr>
        <w:t xml:space="preserve">Zitiervorschlag: § 319 InsO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https://recht.nulegal.eu/gesetze/InsO/319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