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317 InsO — Antragsberechtigte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Antrag auf Eröffnung des Insolvenzverfahrens über einen Nachlaß ist jeder Erbe, der Nachlaßverwalter sowie ein anderer Nachlaßpfleger, ein Testamentsvollstrecker, dem die Verwaltung des Nachlasses zusteht, und jeder Nachlaßgläubiger berechtigt.</w:t>
      </w:r>
    </w:p>
    <w:p>
      <w:r>
        <w:t xml:space="preserve">(2) Wird der Antrag nicht von allen Erben gestellt, so ist er zulässig, wenn der Eröffnungsgrund glaubhaft gemacht wird. Das Insolvenzgericht hat die übrigen Erben zu hören.</w:t>
      </w:r>
    </w:p>
    <w:p>
      <w:r>
        <w:t xml:space="preserve">(3) Steht die Verwaltung des Nachlasses einem Testamentsvollstrecker zu, so ist, wenn der Erbe die Eröffnung beantragt, der Testamentsvollstrecker, wenn der Testamentsvollstrecker den Antrag stellt, der Erbe zu hören.</w:t>
      </w:r>
    </w:p>
    <w:p>
      <w:r>
        <w:rPr>
          <w:color w:val="555555"/>
          <w:sz w:val="17"/>
        </w:rPr>
        <w:t xml:space="preserve">Zitiervorschlag: § 317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