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316 InsO — Zulässigkeit der Eröffnung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Eröffnung des Insolvenzverfahrens wird nicht dadurch ausgeschlossen, daß der Erbe die Erbschaft noch nicht angenommen hat oder daß er für die Nachlaßverbindlichkeiten unbeschränkt haftet.</w:t>
      </w:r>
    </w:p>
    <w:p>
      <w:r>
        <w:t xml:space="preserve">(2) Sind mehrere Erben vorhanden, so ist die Eröffnung des Verfahrens auch nach der Teilung des Nachlasses zulässig.</w:t>
      </w:r>
    </w:p>
    <w:p>
      <w:r>
        <w:t xml:space="preserve">(3) Über einen Erbteil findet ein Insolvenzverfahren nicht statt.</w:t>
      </w:r>
    </w:p>
    <w:p>
      <w:r>
        <w:rPr>
          <w:color w:val="555555"/>
          <w:sz w:val="17"/>
        </w:rPr>
        <w:t xml:space="preserve">Zitiervorschlag: § 316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