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308 InsO — Annahme des Schuldenbereinigungsplans</w:t>
      </w:r>
    </w:p>
    <w:p>
      <w:r>
        <w:rPr>
          <w:color w:val="555555"/>
          <w:sz w:val="18"/>
        </w:rPr>
        <w:t xml:space="preserve">Insolvenzordnung</w:t>
      </w:r>
    </w:p>
    <w:p>
      <w:r>
        <w:rPr>
          <w:color w:val="555555"/>
          <w:sz w:val="18"/>
        </w:rPr>
        <w:t xml:space="preserve">Stand: 10.06.2019 (konsolidierte Textfassung, kein amtliches Inkrafttretensdatum)</w:t>
      </w:r>
    </w:p>
    <w:p>
      <w:r>
        <w:t xml:space="preserve">(1) Hat kein Gläubiger Einwendungen gegen den Schuldenbereinigungsplan erhoben oder wird die Zustimmung nach § 309 ersetzt, so gilt der Schuldenbereinigungsplan als angenommen; das Insolvenzgericht stellt dies durch Beschluß fest. Der Schuldenbereinigungsplan hat die Wirkung eines Vergleichs im Sinne des § 794 Abs. 1 Nr. 1 der Zivilprozeßordnung. Den Gläubigern und dem Schuldner ist eine Ausfertigung des Schuldenbereinigungsplans und des Beschlusses nach Satz 1 zuzustellen.</w:t>
      </w:r>
    </w:p>
    <w:p>
      <w:r>
        <w:t xml:space="preserve">(2) Die Anträge auf Eröffnung des Insolvenzverfahrens und auf Erteilung von Restschuldbefreiung gelten als zurückgenommen.</w:t>
      </w:r>
    </w:p>
    <w:p>
      <w:r>
        <w:t xml:space="preserve">(3) Soweit Forderungen in dem Verzeichnis des Schuldners nicht enthalten sind und auch nicht nachträglich bei dem Zustandekommen des Schuldenbereinigungsplans berücksichtigt worden sind, können die Gläubiger von dem Schuldner Erfüllung verlangen. Dies gilt nicht, soweit ein Gläubiger die Angaben über seine Forderung in dem beim Insolvenzgericht zur Einsicht niedergelegten Forderungsverzeichnis nicht innerhalb der gesetzten Frist ergänzt hat, obwohl ihm der Schuldenbereinigungsplan übersandt wurde und die Forderung vor dem Ablauf der Frist entstanden war; insoweit erlischt die Forderung.</w:t>
      </w:r>
    </w:p>
    <w:p>
      <w:r>
        <w:rPr>
          <w:color w:val="555555"/>
          <w:sz w:val="17"/>
        </w:rPr>
        <w:t xml:space="preserve">Zitiervorschlag: § 308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