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307 InsO — Zustellung an die Gläubiger</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Insolvenzgericht stellt den vom Schuldner genannten Gläubigern den Schuldenbereinigungsplan sowie die Vermögensübersicht zu und fordert die Gläubiger zugleich auf, binnen einer Notfrist von einem Monat zu den in § 305 Abs. 1 Nr. 3 genannten Verzeichnissen und zu dem Schuldenbereinigungsplan Stellung zu nehmen; die Gläubiger sind darauf hinzuweisen, dass die Verzeichnisse beim Insolvenzgericht zur Einsicht niedergelegt sind. Zugleich ist jedem Gläubiger mit ausdrücklichem Hinweis auf die Rechtsfolgen des § 308 Abs. 3 Satz 2 Gelegenheit zu geben, binnen der Frist nach Satz 1 die Angaben über seine Forderungen in dem beim Insolvenzgericht zur Einsicht niedergelegten Forderungsverzeichnis zu überprüfen und erforderlichenfalls zu ergänzen. Auf die Zustellung nach Satz 1 ist § 8 Abs. 1 Satz 2, 3, Abs. 2 und 3 nicht anzuwenden.</w:t>
      </w:r>
    </w:p>
    <w:p>
      <w:r>
        <w:t xml:space="preserve">(2) Geht binnen der Frist nach Absatz 1 Satz 1 bei Gericht die Stellungnahme eines Gläubigers nicht ein, so gilt dies als Einverständnis mit dem Schuldenbereinigungsplan. Darauf ist in der Aufforderung hinzuweisen.</w:t>
      </w:r>
    </w:p>
    <w:p>
      <w:r>
        <w:t xml:space="preserve">(3) Nach Ablauf der Frist nach Absatz 1 Satz 1 ist dem Schuldner Gelegenheit zu geben, den Schuldenbereinigungsplan binnen einer vom Gericht zu bestimmenden Frist zu ändern oder zu ergänzen, wenn dies auf Grund der Stellungnahme eines Gläubigers erforderlich oder zur Förderung einer einverständlichen Schuldenbereinigung sinnvoll erscheint. Die Änderungen oder Ergänzungen sind den Gläubigern zuzustellen, soweit dies erforderlich ist. Absatz 1 Satz 1, 3 und Absatz 2 gelten entsprechend.</w:t>
      </w:r>
    </w:p>
    <w:p>
      <w:r>
        <w:rPr>
          <w:color w:val="555555"/>
          <w:sz w:val="17"/>
        </w:rPr>
        <w:t xml:space="preserve">Zitiervorschlag: § 307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