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304 InsO — Grundsatz</w:t>
      </w:r>
    </w:p>
    <w:p>
      <w:r>
        <w:rPr>
          <w:color w:val="555555"/>
          <w:sz w:val="18"/>
        </w:rPr>
        <w:t xml:space="preserve">Insolvenzordnung</w:t>
      </w:r>
    </w:p>
    <w:p>
      <w:r>
        <w:rPr>
          <w:color w:val="555555"/>
          <w:sz w:val="18"/>
        </w:rPr>
        <w:t xml:space="preserve">Stand: 10.06.2019 (konsolidierte Textfassung, kein amtliches Inkrafttretensdatum)</w:t>
      </w:r>
    </w:p>
    <w:p>
      <w:r>
        <w:t xml:space="preserve">(1) Ist der Schuldner eine natürliche Person, die keine selbständige wirtschaftliche Tätigkeit ausübt oder ausgeübt hat, so gelten für das Verfahren die allgemeinen Vorschriften, soweit in diesem Teil nichts anderes bestimmt ist. Hat der Schuldner eine selbständige wirtschaftliche Tätigkeit ausgeübt, so findet Satz 1 Anwendung, wenn seine Vermögensverhältnisse überschaubar sind und gegen ihn keine Forderungen aus Arbeitsverhältnissen bestehen.</w:t>
      </w:r>
    </w:p>
    <w:p>
      <w:r>
        <w:t xml:space="preserve">(2) Überschaubar sind die Vermögensverhältnisse im Sinne von Absatz 1 Satz 2 nur, wenn der Schuldner zu dem Zeitpunkt, zu dem der Antrag auf Eröffnung des Insolvenzverfahrens gestellt wird, weniger als 20 Gläubiger hat.</w:t>
      </w:r>
    </w:p>
    <w:p>
      <w:r>
        <w:rPr>
          <w:color w:val="555555"/>
          <w:sz w:val="17"/>
        </w:rPr>
        <w:t xml:space="preserve">Zitiervorschlag: § 304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