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InsO — Bekanntmachung des Eröffnungsbeschlusses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Geschäftsstelle des Insolvenzgerichts hat den Eröffnungsbeschluß sofort öffentlich bekanntzumachen.</w:t>
      </w:r>
    </w:p>
    <w:p>
      <w:r>
        <w:t xml:space="preserve">(2) Den Gläubigern und Schuldnern des Schuldners und dem Schuldner selbst ist der Beschluß besonders zuzustellen.</w:t>
      </w:r>
    </w:p>
    <w:p>
      <w:r>
        <w:t xml:space="preserve">(3) (aufgehoben)</w:t>
      </w:r>
    </w:p>
    <w:p>
      <w:r>
        <w:rPr>
          <w:color w:val="555555"/>
          <w:sz w:val="17"/>
        </w:rPr>
        <w:t xml:space="preserve">Zitiervorschlag: § 30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