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295 InsO — Obliegenheiten des Schuldners</w:t>
      </w:r>
    </w:p>
    <w:p>
      <w:r>
        <w:rPr>
          <w:color w:val="555555"/>
          <w:sz w:val="18"/>
        </w:rPr>
        <w:t xml:space="preserve">Insolvenzordnung</w:t>
      </w:r>
    </w:p>
    <w:p>
      <w:r>
        <w:rPr>
          <w:color w:val="555555"/>
          <w:sz w:val="18"/>
        </w:rPr>
        <w:t xml:space="preserve">Stand: 06.01.2021 (konsolidierte Textfassung, kein amtliches Inkrafttretensdatum)</w:t>
      </w:r>
    </w:p>
    <w:p>
      <w:r>
        <w:t xml:space="preserve">Dem Schuldner obliegt es, in dem Zeitraum zwischen Beendigung des Insolvenzverfahrens und dem Ende der Abtretungsfrist</w:t>
      </w:r>
    </w:p>
    <w:p>
      <w:pPr>
        <w:ind w:left="420"/>
      </w:pPr>
      <w:r>
        <w:t xml:space="preserve">1. eine angemessene Erwerbstätigkeit auszuüben und, wenn er ohne Beschäftigung ist, sich um eine solche zu bemühen und keine zumutbare Tätigkeit abzulehnen;</w:t>
      </w:r>
    </w:p>
    <w:p>
      <w:pPr>
        <w:ind w:left="420"/>
      </w:pPr>
      <w:r>
        <w:t xml:space="preserve">2. Vermögen, das er von Todes wegen oder mit Rücksicht auf ein künftiges Erbrecht oder durch Schenkung erwirbt, zur Hälfte des Wertes sowie Vermögen, das er als Gewinn in einer Lotterie, Ausspielung oder in einem anderen Spiel mit Gewinnmöglichkeit erwirbt, zum vollen Wert an den Treuhänder herauszugeben; von der Herausgabepflicht sind gebräuchliche Gelegenheitsgeschenke und Gewinne von geringem Wert ausgenommen;</w:t>
      </w:r>
    </w:p>
    <w:p>
      <w:pPr>
        <w:ind w:left="420"/>
      </w:pPr>
      <w:r>
        <w:t xml:space="preserve">3. jeden Wechsel des Wohnsitzes oder der Beschäftigungsstelle unverzüglich dem Insolvenzgericht und dem Treuhänder anzuzeigen, keine von der Abtretungserklärung erfaßten Bezüge und kein von Nummer 2 erfaßtes Vermögen zu verheimlichen und dem Gericht und dem Treuhänder auf Verlangen Auskunft über seine Erwerbstätigkeit oder seine Bemühungen um eine solche sowie über seine Bezüge und sein Vermögen zu erteilen;</w:t>
      </w:r>
    </w:p>
    <w:p>
      <w:pPr>
        <w:ind w:left="420"/>
      </w:pPr>
      <w:r>
        <w:t xml:space="preserve">4. Zahlungen zur Befriedigung der Insolvenzgläubiger nur an den Treuhänder zu leisten und keinem Insolvenzgläubiger einen Sondervorteil zu verschaffen;</w:t>
      </w:r>
    </w:p>
    <w:p>
      <w:pPr>
        <w:ind w:left="420"/>
      </w:pPr>
      <w:r>
        <w:t xml:space="preserve">5. keine unangemessenen Verbindlichkeiten im Sinne des § 290 Absatz 1 Nummer 4 zu begründen.</w:t>
      </w:r>
    </w:p>
    <w:p>
      <w:r>
        <w:t xml:space="preserve">Auf Antrag des Schuldners stellt das Insolvenzgericht fest, ob ein Vermögenserwerb nach Satz 1 Nummer 2 von der Herausgabeobliegenheit ausgenommen ist.</w:t>
      </w:r>
    </w:p>
    <w:p>
      <w:r>
        <w:rPr>
          <w:color w:val="555555"/>
          <w:sz w:val="17"/>
        </w:rPr>
        <w:t xml:space="preserve">Zitiervorschlag: § 295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