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294 InsO — Gleichbehandlung der Gläubiger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Zwangsvollstreckungen für einzelne Insolvenzgläubiger in das Vermögen des Schuldners sind in dem Zeitraum zwischen Beendigung des Insolvenzverfahrens und dem Ende der Abtretungsfrist nicht zulässig.</w:t>
      </w:r>
    </w:p>
    <w:p>
      <w:r>
        <w:t xml:space="preserve">(2) Jedes Abkommen des Schuldners oder anderer Personen mit einzelnen Insolvenzgläubigern, durch das diesen ein Sondervorteil verschafft wird, ist nichtig.</w:t>
      </w:r>
    </w:p>
    <w:p>
      <w:r>
        <w:t xml:space="preserve">(3) Eine Aufrechnung gegen die Forderung auf die Bezüge, die von der Abtretungserklärung erfasst werden, ist nicht zulässig.</w:t>
      </w:r>
    </w:p>
    <w:p>
      <w:r>
        <w:rPr>
          <w:color w:val="555555"/>
          <w:sz w:val="17"/>
        </w:rPr>
        <w:t xml:space="preserve">Zitiervorschlag: § 294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