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293 InsO — Vergütung des Treuhänders</w:t>
      </w:r>
    </w:p>
    <w:p>
      <w:r>
        <w:rPr>
          <w:color w:val="555555"/>
          <w:sz w:val="18"/>
        </w:rPr>
        <w:t xml:space="preserve">Insolvenzordnung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Treuhänder hat Anspruch auf Vergütung für seine Tätigkeit und auf Erstattung angemessener Auslagen. Dabei ist dem Zeitaufwand des Treuhänders und dem Umfang seiner Tätigkeit Rechnung zu tragen.</w:t>
      </w:r>
    </w:p>
    <w:p>
      <w:r>
        <w:t xml:space="preserve">(2) § 63 Abs. 2 sowie die §§ 64 und 65 gelten entsprechend.</w:t>
      </w:r>
    </w:p>
    <w:p>
      <w:r>
        <w:rPr>
          <w:color w:val="555555"/>
          <w:sz w:val="17"/>
        </w:rPr>
        <w:t xml:space="preserve">Zitiervorschlag: § 293 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https://recht.nulegal.eu/gesetze/InsO/293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