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InsO — Terminbestimmungen</w:t>
      </w:r>
    </w:p>
    <w:p>
      <w:r>
        <w:rPr>
          <w:color w:val="555555"/>
          <w:sz w:val="18"/>
        </w:rPr>
        <w:t xml:space="preserve">Insolvenzordnung</w:t>
      </w:r>
    </w:p>
    <w:p>
      <w:r>
        <w:rPr>
          <w:color w:val="555555"/>
          <w:sz w:val="18"/>
        </w:rPr>
        <w:t xml:space="preserve">Stand: 10.06.2019 (konsolidierte Textfassung, kein amtliches Inkrafttretensdatum)</w:t>
      </w:r>
    </w:p>
    <w:p>
      <w:r>
        <w:t xml:space="preserve">(1) Im Eröffnungsbeschluß bestimmt das Insolvenzgericht Termine für:</w:t>
      </w:r>
    </w:p>
    <w:p>
      <w:pPr>
        <w:ind w:left="420"/>
      </w:pPr>
      <w:r>
        <w:t xml:space="preserve">1. eine Gläubigerversammlung, in der auf der Grundlage eines Berichts des Insolvenzverwalters über den Fortgang des Insolvenzverfahrens beschlossen wird (Berichtstermin); der Termin soll nicht über sechs Wochen und darf nicht über drei Monate hinaus angesetzt werden;</w:t>
      </w:r>
    </w:p>
    <w:p>
      <w:pPr>
        <w:ind w:left="420"/>
      </w:pPr>
      <w:r>
        <w:t xml:space="preserve">2. eine Gläubigerversammlung, in der die angemeldeten Forderungen geprüft werden (Prüfungstermin); der Zeitraum zwischen dem Ablauf der Anmeldefrist und dem Prüfungstermin soll mindestens eine Woche und höchstens zwei Monate betragen.</w:t>
      </w:r>
    </w:p>
    <w:p>
      <w:r>
        <w:t xml:space="preserve">(2) Die Termine können verbunden werden. Das Gericht soll auf den Berichtstermin verzichten, wenn die Vermögensverhältnisse des Schuldners überschaubar sind und die Zahl der Gläubiger oder die Höhe der Verbindlichkeiten gering ist.</w:t>
      </w:r>
    </w:p>
    <w:p>
      <w:r>
        <w:rPr>
          <w:color w:val="555555"/>
          <w:sz w:val="17"/>
        </w:rPr>
        <w:t xml:space="preserve">Zitiervorschlag: § 29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