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289 InsO — Einstellung des Insolvenzverfahrens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Fall der Einstellung des Insolvenzverfahrens kann Restschuldbefreiung nur erteilt werden, wenn nach Anzeige der Masseunzulänglichkeit die Insolvenzmasse nach § 209 verteilt worden ist und die Einstellung nach § 211 erfolgt.</w:t>
      </w:r>
    </w:p>
    <w:p>
      <w:r>
        <w:rPr>
          <w:color w:val="555555"/>
          <w:sz w:val="17"/>
        </w:rPr>
        <w:t xml:space="preserve">Zitiervorschlag: § 289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https://recht.nulegal.eu/gesetze/InsO/289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