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287b InsO — Erwerbsobliegenheit des Schuldners</w:t>
      </w:r>
    </w:p>
    <w:p>
      <w:r>
        <w:rPr>
          <w:color w:val="555555"/>
          <w:sz w:val="18"/>
        </w:rPr>
        <w:t xml:space="preserve">Insolvenzordnung</w:t>
      </w:r>
    </w:p>
    <w:p>
      <w:r>
        <w:rPr>
          <w:color w:val="555555"/>
          <w:sz w:val="18"/>
        </w:rPr>
        <w:t xml:space="preserve">Stand: 10.06.2019 (konsolidierte Textfassung, kein amtliches Inkrafttretensdatum)</w:t>
      </w:r>
    </w:p>
    <w:p>
      <w:r>
        <w:t xml:space="preserve">Ab Beginn der Abtretungsfrist bis zur Beendigung des Insolvenzverfahrens obliegt es dem Schuldner, eine angemessene Erwerbstätigkeit auszuüben und, wenn er ohne Beschäftigung ist, sich um eine solche zu bemühen und keine zumutbare Tätigkeit abzulehnen.</w:t>
      </w:r>
    </w:p>
    <w:p>
      <w:r>
        <w:rPr>
          <w:color w:val="555555"/>
          <w:sz w:val="17"/>
        </w:rPr>
        <w:t xml:space="preserve">Zitiervorschlag: § 287b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https://recht.nulegal.eu/gesetze/InsO/287b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