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286 InsO — Grundsatz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06.01.2021 (konsolidierte Textfassung, kein amtliches Inkrafttretensdatum)</w:t>
      </w:r>
    </w:p>
    <w:p>
      <w:r>
        <w:t xml:space="preserve">Ist der Schuldner eine natürliche Person, so wird er nach Maßgabe der §§ 287 bis 303a von den im Insolvenzverfahren nicht erfüllten Verbindlichkeiten gegenüber den Insolvenzgläubigern befreit.</w:t>
      </w:r>
    </w:p>
    <w:p>
      <w:r>
        <w:rPr>
          <w:color w:val="555555"/>
          <w:sz w:val="17"/>
        </w:rPr>
        <w:t xml:space="preserve">Zitiervorschlag: § 286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