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284 InsO — Insolvenzplan</w:t>
      </w:r>
    </w:p>
    <w:p>
      <w:r>
        <w:rPr>
          <w:color w:val="555555"/>
          <w:sz w:val="18"/>
        </w:rPr>
        <w:t xml:space="preserve">Insolvenzordnung</w:t>
      </w:r>
    </w:p>
    <w:p>
      <w:r>
        <w:rPr>
          <w:color w:val="555555"/>
          <w:sz w:val="18"/>
        </w:rPr>
        <w:t xml:space="preserve">Stand: 01.01.2021 (konsolidierte Textfassung, kein amtliches Inkrafttretensdatum)</w:t>
      </w:r>
    </w:p>
    <w:p>
      <w:r>
        <w:t xml:space="preserve">(1) Ein Auftrag der Gläubigerversammlung zur Ausarbeitung eines Insolvenzplans ist an den Sachwalter oder an den Schuldner zu richten. Der vorläufige Gläubigerausschuss kann einen Auftrag zur Ausarbeitung eines Insolvenzplans an den vorläufigen Sachwalter oder den Schuldner richten. Wird der Auftrag an den Schuldner gerichtet, so wirkt der vorläufige Sachwalter oder der Sachwalter beratend mit.</w:t>
      </w:r>
    </w:p>
    <w:p>
      <w:r>
        <w:t xml:space="preserve">(2) Eine Überwachung der Planerfüllung ist Aufgabe des Sachwalters.</w:t>
      </w:r>
    </w:p>
    <w:p>
      <w:r>
        <w:rPr>
          <w:color w:val="555555"/>
          <w:sz w:val="17"/>
        </w:rPr>
        <w:t xml:space="preserve">Zitiervorschlag: § 284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