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282 InsO — Verwertung von Sicherungsgut</w:t>
      </w:r>
    </w:p>
    <w:p>
      <w:r>
        <w:rPr>
          <w:color w:val="555555"/>
          <w:sz w:val="18"/>
        </w:rPr>
        <w:t xml:space="preserve">Insolvenzordnung</w:t>
      </w:r>
    </w:p>
    <w:p>
      <w:r>
        <w:rPr>
          <w:color w:val="555555"/>
          <w:sz w:val="18"/>
        </w:rPr>
        <w:t xml:space="preserve">Stand: 10.06.2019 (konsolidierte Textfassung, kein amtliches Inkrafttretensdatum)</w:t>
      </w:r>
    </w:p>
    <w:p>
      <w:r>
        <w:t xml:space="preserve">(1) Das Recht des Insolvenzverwalters zur Verwertung von Gegenständen, an denen Absonderungsrechte bestehen, steht dem Schuldner zu. Kosten der Feststellung der Gegenstände und der Rechte an diesen werden jedoch nicht erhoben. Als Kosten der Verwertung können nur die tatsächlich entstandenen, für die Verwertung erforderlichen Kosten und der Umsatzsteuerbetrag angesetzt werden.</w:t>
      </w:r>
    </w:p>
    <w:p>
      <w:r>
        <w:t xml:space="preserve">(2) Der Schuldner soll sein Verwertungsrecht im Einvernehmen mit dem Sachwalter ausüben.</w:t>
      </w:r>
    </w:p>
    <w:p>
      <w:r>
        <w:rPr>
          <w:color w:val="555555"/>
          <w:sz w:val="17"/>
        </w:rPr>
        <w:t xml:space="preserve">Zitiervorschlag: § 282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