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275 InsO — Mitwirkung des Sachwalters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Verbindlichkeiten, die nicht zum gewöhnlichen Geschäftsbetrieb gehören, soll der Schuldner nur mit Zustimmung des Sachwalters eingehen. Auch Verbindlichkeiten, die zum gewöhnlichen Geschäftsbetrieb gehören, soll er nicht eingehen, wenn der Sachwalter widerspricht.</w:t>
      </w:r>
    </w:p>
    <w:p>
      <w:r>
        <w:t xml:space="preserve">(2) Der Sachwalter kann vom Schuldner verlangen, daß alle eingehenden Gelder nur vom Sachwalter entgegengenommen und Zahlungen nur vom Sachwalter geleistet werden.</w:t>
      </w:r>
    </w:p>
    <w:p>
      <w:r>
        <w:rPr>
          <w:color w:val="555555"/>
          <w:sz w:val="17"/>
        </w:rPr>
        <w:t xml:space="preserve">Zitiervorschlag: § 275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