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272 InsO — Aufhebung der Anordnung</w:t>
      </w:r>
    </w:p>
    <w:p>
      <w:r>
        <w:rPr>
          <w:color w:val="555555"/>
          <w:sz w:val="18"/>
        </w:rPr>
        <w:t xml:space="preserve">Insolvenzordnung</w:t>
      </w:r>
    </w:p>
    <w:p>
      <w:r>
        <w:rPr>
          <w:color w:val="555555"/>
          <w:sz w:val="18"/>
        </w:rPr>
        <w:t xml:space="preserve">Stand: 01.01.2021 (konsolidierte Textfassung, kein amtliches Inkrafttretensdatum)</w:t>
      </w:r>
    </w:p>
    <w:p>
      <w:r>
        <w:t xml:space="preserve">(1) Das Insolvenzgericht hebt die Anordnung der Eigenverwaltung auf, wenn</w:t>
      </w:r>
    </w:p>
    <w:p>
      <w:pPr>
        <w:ind w:left="420"/>
      </w:pPr>
      <w:r>
        <w:t xml:space="preserve">1. der Schuldner in schwerwiegender Weise gegen insolvenzrechtliche Pflichten verstößt oder sich auf sonstige Weise zeigt, dass er nicht bereit oder in der Lage ist, seine Geschäftsführung am Interesse der Gläubiger auszurichten; dies gilt auch dann, wenn sich erweist, dass</w:t>
      </w:r>
    </w:p>
    <w:p>
      <w:pPr>
        <w:ind w:left="780"/>
      </w:pPr>
      <w:r>
        <w:t xml:space="preserve">a) der Schuldner die Eigenverwaltungsplanung in wesentlichen Punkten auf unzutreffende Tatsachen gestützt hat,</w:t>
      </w:r>
    </w:p>
    <w:p>
      <w:pPr>
        <w:ind w:left="780"/>
      </w:pPr>
      <w:r>
        <w:t xml:space="preserve">b) die Rechnungslegung und Buchführung so unvollständig oder mangelhaft sind, dass sie keine Beurteilung der Eigenverwaltungsplanung, insbesondere des Finanzplans, ermöglichen,</w:t>
      </w:r>
    </w:p>
    <w:p>
      <w:pPr>
        <w:ind w:left="780"/>
      </w:pPr>
      <w:r>
        <w:t xml:space="preserve">c) Haftungsansprüche des Schuldners gegen amtierende oder ehemalige Mitglieder des vertretungsberechtigten Organs bestehen, deren Durchsetzung in der Eigenverwaltung erschwert werden könnte,</w:t>
      </w:r>
    </w:p>
    <w:p>
      <w:pPr>
        <w:ind w:left="420"/>
      </w:pPr>
      <w:r>
        <w:t xml:space="preserve">2. die Erreichung des Eigenverwaltungsziels, insbesondere eine angestrebte Sanierung sich als aussichtslos erweist,</w:t>
      </w:r>
    </w:p>
    <w:p>
      <w:pPr>
        <w:ind w:left="420"/>
      </w:pPr>
      <w:r>
        <w:t xml:space="preserve">3. dies von der Gläubigerversammlung mit der in § 76 Absatz 2 genannten Mehrheit und der Mehrheit der abstimmenden Gläubiger beantragt wird,</w:t>
      </w:r>
    </w:p>
    <w:p>
      <w:pPr>
        <w:ind w:left="420"/>
      </w:pPr>
      <w:r>
        <w:t xml:space="preserve">4. dies von einem absonderungsberechtigten Gläubiger oder von einem Insolvenzgläubiger beantragt wird, die Voraussetzungen der Anordnung der Eigenverwaltung des § 270f Absatz 1 in Verbindung mit § 270b Absatz 1 Satz 1 weggefallen sind und dem Antragsteller durch die Eigenverwaltung erhebliche Nachteile drohen,</w:t>
      </w:r>
    </w:p>
    <w:p>
      <w:pPr>
        <w:ind w:left="420"/>
      </w:pPr>
      <w:r>
        <w:t xml:space="preserve">5. dies vom Schuldner beantragt wird.</w:t>
      </w:r>
    </w:p>
    <w:p>
      <w:r>
        <w:t xml:space="preserve">(2) Der Antrag eines Gläubigers ist nur zulässig, wenn die in Absatz 1 Nummer 4 genannten Voraussetzungen glaubhaft gemacht werden. Vor der Entscheidung über den Antrag ist der Schuldner zu hören. Gegen die Entscheidung steht dem Gläubiger und dem Schuldner die sofortige Beschwerde zu.</w:t>
      </w:r>
    </w:p>
    <w:p>
      <w:r>
        <w:t xml:space="preserve">(3) Zum Insolvenzverwalter kann der bisherige Sachwalter bestellt werden.</w:t>
      </w:r>
    </w:p>
    <w:p>
      <w:r>
        <w:rPr>
          <w:color w:val="555555"/>
          <w:sz w:val="17"/>
        </w:rPr>
        <w:t xml:space="preserve">Zitiervorschlag: § 272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